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Uppvidinge kommunfullmäktige</w:t>
      </w:r>
    </w:p>
    <w:p>
      <w:pPr>
        <w:pStyle w:val="Heading1"/>
      </w:pPr>
      <w:r>
        <w:t xml:space="preserve">Fler fast anställda inom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Uppvidinge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och Socialstyrelsen visar att Uppvidinge har hög andel timanställda inom hemtjänst och särskilt boende. Detta leder till otrygghet för äldre och hög sjukfrånvaro. Fast anställning är en prioriterad välfärdsfråga.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Uppvidinge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andelen fast anställda inom äldreomsorgen ska öka till minst 85 procent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rekryteringsplan tas fram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arbetsmiljöåtgärder prioriteras för att minska sjukfrånvaro.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samband med delårsrapport 2027.</w:t>
      </w:r>
    </w:p>
    <w:p>
      <w:pPr>
        <w:spacing w:before="360"/>
      </w:pPr>
    </w:p>
    <w:p>
      <w:r>
        <w:t xml:space="preserve">Uppvidinge,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Uppvidinge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2026-07-14T01:43:38.407Z</dcterms:created>
  <dcterms:modified xsi:type="dcterms:W3CDTF">2026-07-14T01:43:38.407Z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